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方正仿宋_GB2312"/>
          <w:color w:val="000000"/>
          <w:sz w:val="28"/>
          <w:szCs w:val="28"/>
          <w:highlight w:val="none"/>
        </w:rPr>
      </w:pPr>
      <w:r>
        <w:rPr>
          <w:rFonts w:hint="eastAsia" w:ascii="仿宋" w:hAnsi="仿宋" w:eastAsia="仿宋" w:cs="方正仿宋_GB2312"/>
          <w:color w:val="000000"/>
          <w:sz w:val="28"/>
          <w:szCs w:val="28"/>
          <w:highlight w:val="none"/>
        </w:rPr>
        <w:t>附件2：代理机构比选评分细则</w:t>
      </w:r>
    </w:p>
    <w:p>
      <w:pPr>
        <w:widowControl/>
        <w:spacing w:line="360" w:lineRule="auto"/>
        <w:jc w:val="left"/>
        <w:rPr>
          <w:rFonts w:ascii="仿宋" w:hAnsi="仿宋" w:eastAsia="仿宋" w:cs="宋体"/>
          <w:bCs/>
          <w:kern w:val="0"/>
          <w:sz w:val="28"/>
          <w:szCs w:val="28"/>
          <w:highlight w:val="none"/>
        </w:rPr>
      </w:pPr>
      <w:r>
        <w:rPr>
          <w:rFonts w:hint="eastAsia" w:ascii="仿宋" w:hAnsi="仿宋" w:eastAsia="仿宋" w:cs="宋体"/>
          <w:bCs/>
          <w:kern w:val="0"/>
          <w:sz w:val="28"/>
          <w:szCs w:val="28"/>
          <w:highlight w:val="none"/>
        </w:rPr>
        <w:t>比选采用综合评分法，满分100分，具体细则如下：</w:t>
      </w:r>
    </w:p>
    <w:tbl>
      <w:tblPr>
        <w:tblStyle w:val="3"/>
        <w:tblW w:w="9351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1"/>
        <w:gridCol w:w="752"/>
        <w:gridCol w:w="73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评审因素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满分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2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报价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0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当代理机构小于等于5家时，所有代理机构的有效报价算术平均值为基准值；当代理机构大于5家小于等于7家时，所有代理机构的有效报价去掉1个最高，1个最低后的算术平均值为基准值；当代理机构大于7小于等于9家时，所有代理机构的有效报价去掉1个最高，2个最低后的算术平均值为基准值；当代理机构大于9小于等于11家时，所有代理机构的有效报价去掉2个最高，3个最低后的算术平均值为基准值；当代理机构大于11家时，所有代理机构的有效报价去掉3个最高，4个最低后的算术平均值为基准值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评审基准价=评审价平均值。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在评审过程中，评审小组应对计算的评审基准价进行复核，存在计算错误的应予以修正并在比选打分汇总表中作出说明。除此之外，评审基准价在整个评审期间保持不变，不随任何因素发生变化。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评审价得分计算公式为：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（1）如果代理机构的报价＞评审基准价，则报价得分=F-偏差率×100×E1；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（2）如果代理机构的报价≤评审基准价，则报价得分=F+偏差率×100×E2；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其中，F是报价所占的评分满分值；E1是报价每高于评审基准价一个百分点的扣分值；E2是报价每低于评审基准价一个百分点的扣分值。报价得分最低减至0分。</w:t>
            </w:r>
          </w:p>
          <w:p>
            <w:pPr>
              <w:widowControl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F=30，E1=0.2，E2=0.2。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3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企业业绩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10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提供202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年01月01日（含）（以委托协议日期为准）以来承担过的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类似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项目，每提供一份委托协议得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分，最多得10分。注：以提供的项目委托协议复印件为准。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3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职业操守、市场行为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15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根据代理机构提供的的执业操守情况，包括但不限于荣誉、信誉情况（含获奖情况），在0-10分之前酌情打分。</w:t>
            </w:r>
          </w:p>
          <w:p>
            <w:pPr>
              <w:widowControl/>
              <w:numPr>
                <w:ilvl w:val="0"/>
                <w:numId w:val="1"/>
              </w:numPr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在“信用中国”网站上没有列入失信被执行人名单、没有列入重大税收违法案件当事人名单、没有列入采购严重违法失信名单证明资料。在0-5分之前酌情打分。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9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实力资信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宋体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0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pStyle w:val="2"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1、在聊城地区具有办公场所面积在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00平方米（不含）以下得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分，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00平方米（含）～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00平方米（不含）得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分，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00平方米（含）以上的得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分。</w:t>
            </w:r>
          </w:p>
          <w:p>
            <w:pPr>
              <w:pStyle w:val="2"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注：需在报价文件中附办公场所证明资料并加盖公章，否则不予计分。</w:t>
            </w:r>
          </w:p>
          <w:p>
            <w:pPr>
              <w:pStyle w:val="2"/>
              <w:spacing w:line="360" w:lineRule="auto"/>
              <w:ind w:firstLine="480" w:firstLineChars="200"/>
              <w:rPr>
                <w:rFonts w:hint="eastAsia"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2、有组织招标所必备的硬件条件。音视频设备、多媒体设备、监控设施的配备情况进行综合评审，得0-3分。</w:t>
            </w:r>
          </w:p>
          <w:p>
            <w:pPr>
              <w:pStyle w:val="2"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注：需在报价文件中附设备照片并</w:t>
            </w:r>
            <w:r>
              <w:rPr>
                <w:rFonts w:ascii="仿宋" w:hAnsi="仿宋" w:eastAsia="仿宋" w:cs="宋体"/>
                <w:sz w:val="24"/>
                <w:highlight w:val="none"/>
              </w:rPr>
              <w:t>加盖公章，否则不予计分。</w:t>
            </w:r>
          </w:p>
          <w:p>
            <w:pPr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3、拟派项目负责人为公司在职员工，具有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中级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以上职称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或注册类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的得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分，具有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初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级职称的得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分；最高得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分。</w:t>
            </w:r>
          </w:p>
          <w:p>
            <w:pPr>
              <w:pStyle w:val="2"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拟派项目班子管理人员（不含项目负责人）具有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中级及以上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级职称的或者国家注册类资格的，每有1人得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分；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  <w:t>初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级职称，每有1人得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分；同一人职称证与注册证不可重复计分。本项最高得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10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分。</w:t>
            </w:r>
          </w:p>
          <w:p>
            <w:pPr>
              <w:pStyle w:val="2"/>
              <w:spacing w:line="360" w:lineRule="auto"/>
              <w:ind w:firstLine="480" w:firstLineChars="200"/>
              <w:rPr>
                <w:rFonts w:ascii="仿宋" w:hAnsi="仿宋" w:eastAsia="仿宋"/>
                <w:sz w:val="24"/>
                <w:highlight w:val="none"/>
              </w:rPr>
            </w:pPr>
            <w:r>
              <w:rPr>
                <w:rFonts w:ascii="仿宋" w:hAnsi="仿宋" w:eastAsia="仿宋" w:cs="宋体"/>
                <w:sz w:val="24"/>
                <w:highlight w:val="none"/>
              </w:rPr>
              <w:t>注：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需在报价文件中附</w:t>
            </w:r>
            <w:r>
              <w:rPr>
                <w:rFonts w:ascii="仿宋" w:hAnsi="仿宋" w:eastAsia="仿宋" w:cs="宋体"/>
                <w:sz w:val="24"/>
                <w:highlight w:val="none"/>
              </w:rPr>
              <w:t>注册证（或职称证）、社保证明复印件加盖公章，否则不予计分。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9" w:hRule="atLeast"/>
          <w:tblCellSpacing w:w="0" w:type="dxa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代理方案</w:t>
            </w:r>
          </w:p>
        </w:tc>
        <w:tc>
          <w:tcPr>
            <w:tcW w:w="752" w:type="dxa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宋体"/>
                <w:sz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2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spacing w:line="360" w:lineRule="auto"/>
              <w:ind w:firstLine="480" w:firstLineChars="200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根据代理服务方案共5项，每项在0-</w:t>
            </w:r>
            <w:r>
              <w:rPr>
                <w:rFonts w:hint="eastAsia" w:ascii="仿宋" w:hAnsi="仿宋" w:eastAsia="仿宋" w:cs="宋体"/>
                <w:sz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z w:val="24"/>
                <w:highlight w:val="none"/>
              </w:rPr>
              <w:t>分之间酌情打分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  <w:tblCellSpacing w:w="0" w:type="dxa"/>
          <w:jc w:val="center"/>
        </w:trPr>
        <w:tc>
          <w:tcPr>
            <w:tcW w:w="2023" w:type="dxa"/>
            <w:gridSpan w:val="2"/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备 注</w:t>
            </w:r>
          </w:p>
        </w:tc>
        <w:tc>
          <w:tcPr>
            <w:tcW w:w="7328" w:type="dxa"/>
            <w:noWrap w:val="0"/>
            <w:vAlign w:val="center"/>
          </w:tcPr>
          <w:p>
            <w:pPr>
              <w:widowControl/>
              <w:spacing w:line="360" w:lineRule="auto"/>
              <w:rPr>
                <w:rFonts w:ascii="仿宋" w:hAnsi="仿宋" w:eastAsia="仿宋" w:cs="宋体"/>
                <w:sz w:val="24"/>
                <w:highlight w:val="none"/>
              </w:rPr>
            </w:pPr>
            <w:r>
              <w:rPr>
                <w:rFonts w:hint="eastAsia" w:ascii="仿宋" w:hAnsi="仿宋" w:eastAsia="仿宋" w:cs="宋体"/>
                <w:sz w:val="24"/>
                <w:highlight w:val="none"/>
              </w:rPr>
              <w:t>评审小组对代理机构打分，最终得分取所有评委打分的算术平均值。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86E87"/>
    <w:multiLevelType w:val="singleLevel"/>
    <w:tmpl w:val="81386E8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hZDkwN2VhMWVkNDJkY2UwYmVlNDQ4NmQwMmRiZmMifQ=="/>
  </w:docVars>
  <w:rsids>
    <w:rsidRoot w:val="53E82F7D"/>
    <w:rsid w:val="158A73A7"/>
    <w:rsid w:val="26EB1EEE"/>
    <w:rsid w:val="4F193048"/>
    <w:rsid w:val="53E82F7D"/>
    <w:rsid w:val="63CF161B"/>
    <w:rsid w:val="7F9C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autoRedefine/>
    <w:qFormat/>
    <w:uiPriority w:val="0"/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1147</Words>
  <Characters>1205</Characters>
  <Lines>0</Lines>
  <Paragraphs>0</Paragraphs>
  <TotalTime>5</TotalTime>
  <ScaleCrop>false</ScaleCrop>
  <LinksUpToDate>false</LinksUpToDate>
  <CharactersWithSpaces>1206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2024-05-10T01:04:00Z</dcterms:created>
  <dc:creator>汪余浩</dc:creator>
  <cp:lastModifiedBy>geshuyun</cp:lastModifiedBy>
  <dcterms:modified xsi:type="dcterms:W3CDTF">2024-05-31T03:32:46Z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3B899F71B120432ABE0E494229E05D8C_11</vt:lpwstr>
  </property>
</Properties>
</file>